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5815F7">
        <w:rPr>
          <w:rFonts w:ascii="Arial" w:hAnsi="Arial" w:cs="Arial"/>
          <w:b/>
          <w:bCs/>
          <w:color w:val="404040"/>
          <w:sz w:val="24"/>
          <w:szCs w:val="24"/>
        </w:rPr>
        <w:t>:</w:t>
      </w:r>
      <w:r w:rsidR="00A33954">
        <w:rPr>
          <w:rFonts w:ascii="Arial" w:hAnsi="Arial" w:cs="Arial"/>
          <w:b/>
          <w:bCs/>
          <w:color w:val="404040"/>
          <w:sz w:val="24"/>
          <w:szCs w:val="24"/>
        </w:rPr>
        <w:t xml:space="preserve"> </w:t>
      </w:r>
      <w:r w:rsidR="00022FCC">
        <w:rPr>
          <w:rFonts w:ascii="Arial" w:hAnsi="Arial" w:cs="Arial"/>
          <w:bCs/>
          <w:color w:val="404040"/>
          <w:sz w:val="24"/>
          <w:szCs w:val="24"/>
        </w:rPr>
        <w:t>Luis Rubén Suarez Flores</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Grado de Escolaridad</w:t>
      </w:r>
      <w:r w:rsidR="005815F7">
        <w:rPr>
          <w:rFonts w:ascii="Arial" w:hAnsi="Arial" w:cs="Arial"/>
          <w:b/>
          <w:bCs/>
          <w:color w:val="404040"/>
          <w:sz w:val="24"/>
          <w:szCs w:val="24"/>
        </w:rPr>
        <w:t>:</w:t>
      </w:r>
      <w:r w:rsidR="00A33954">
        <w:rPr>
          <w:rFonts w:ascii="Arial" w:hAnsi="Arial" w:cs="Arial"/>
          <w:b/>
          <w:bCs/>
          <w:color w:val="404040"/>
          <w:sz w:val="24"/>
          <w:szCs w:val="24"/>
        </w:rPr>
        <w:t xml:space="preserve"> </w:t>
      </w:r>
      <w:r w:rsidR="005815F7">
        <w:rPr>
          <w:rFonts w:ascii="Arial" w:hAnsi="Arial" w:cs="Arial"/>
          <w:bCs/>
          <w:color w:val="404040"/>
          <w:sz w:val="24"/>
          <w:szCs w:val="24"/>
        </w:rPr>
        <w:t>Licenciatura en Derecho</w:t>
      </w:r>
    </w:p>
    <w:p w:rsidR="00AB5916" w:rsidRPr="00A33954" w:rsidRDefault="00AB591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Cédula Profesional</w:t>
      </w:r>
      <w:r w:rsidR="005815F7">
        <w:rPr>
          <w:rFonts w:ascii="Arial" w:hAnsi="Arial" w:cs="Arial"/>
          <w:b/>
          <w:bCs/>
          <w:color w:val="404040"/>
          <w:sz w:val="24"/>
          <w:szCs w:val="24"/>
        </w:rPr>
        <w:t>:</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844014" w:rsidRPr="00A33954">
        <w:rPr>
          <w:rFonts w:ascii="Arial" w:hAnsi="Arial" w:cs="Arial"/>
          <w:bCs/>
          <w:color w:val="404040"/>
          <w:sz w:val="24"/>
          <w:szCs w:val="24"/>
        </w:rPr>
        <w:t>5845560</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5815F7">
        <w:rPr>
          <w:rFonts w:ascii="Arial" w:hAnsi="Arial" w:cs="Arial"/>
          <w:b/>
          <w:bCs/>
          <w:color w:val="404040"/>
          <w:sz w:val="24"/>
          <w:szCs w:val="24"/>
        </w:rPr>
        <w:t>:</w:t>
      </w:r>
      <w:r w:rsidR="00A33954">
        <w:rPr>
          <w:rFonts w:ascii="Arial" w:hAnsi="Arial" w:cs="Arial"/>
          <w:b/>
          <w:bCs/>
          <w:color w:val="404040"/>
          <w:sz w:val="24"/>
          <w:szCs w:val="24"/>
        </w:rPr>
        <w:t xml:space="preserve"> </w:t>
      </w:r>
      <w:r w:rsidR="00A33954">
        <w:rPr>
          <w:rFonts w:ascii="Arial" w:hAnsi="Arial" w:cs="Arial"/>
          <w:color w:val="404040"/>
          <w:sz w:val="24"/>
          <w:szCs w:val="24"/>
        </w:rPr>
        <w:t>29697</w:t>
      </w:r>
      <w:r w:rsidR="005815F7">
        <w:rPr>
          <w:rFonts w:ascii="Arial" w:hAnsi="Arial" w:cs="Arial"/>
          <w:color w:val="404040"/>
          <w:sz w:val="24"/>
          <w:szCs w:val="24"/>
        </w:rPr>
        <w:t>42059</w:t>
      </w:r>
    </w:p>
    <w:p w:rsidR="00BB2BF2"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5815F7">
        <w:rPr>
          <w:rFonts w:ascii="Arial" w:hAnsi="Arial" w:cs="Arial"/>
          <w:b/>
          <w:bCs/>
          <w:color w:val="404040"/>
          <w:sz w:val="24"/>
          <w:szCs w:val="24"/>
        </w:rPr>
        <w:t>:</w:t>
      </w:r>
      <w:r w:rsidR="00A33954">
        <w:rPr>
          <w:rFonts w:ascii="Arial" w:hAnsi="Arial" w:cs="Arial"/>
          <w:b/>
          <w:bCs/>
          <w:color w:val="404040"/>
          <w:sz w:val="24"/>
          <w:szCs w:val="24"/>
        </w:rPr>
        <w:t xml:space="preserve"> </w:t>
      </w:r>
    </w:p>
    <w:p w:rsidR="00A33954" w:rsidRDefault="00A33954"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5815F7" w:rsidRPr="00844014" w:rsidRDefault="005815F7" w:rsidP="00BB2BF2">
      <w:pPr>
        <w:autoSpaceDE w:val="0"/>
        <w:autoSpaceDN w:val="0"/>
        <w:adjustRightInd w:val="0"/>
        <w:spacing w:after="0" w:line="240" w:lineRule="auto"/>
        <w:rPr>
          <w:rFonts w:ascii="Arial" w:hAnsi="Arial" w:cs="Arial"/>
          <w:sz w:val="24"/>
          <w:szCs w:val="24"/>
        </w:rPr>
      </w:pPr>
      <w:r w:rsidRPr="00844014">
        <w:rPr>
          <w:rFonts w:ascii="Arial" w:hAnsi="Arial" w:cs="Arial"/>
          <w:sz w:val="24"/>
          <w:szCs w:val="24"/>
        </w:rPr>
        <w:t xml:space="preserve">(2003-2007) </w:t>
      </w:r>
    </w:p>
    <w:p w:rsidR="005815F7" w:rsidRPr="00844014" w:rsidRDefault="005815F7" w:rsidP="00BB2BF2">
      <w:pPr>
        <w:autoSpaceDE w:val="0"/>
        <w:autoSpaceDN w:val="0"/>
        <w:adjustRightInd w:val="0"/>
        <w:spacing w:after="0" w:line="240" w:lineRule="auto"/>
        <w:rPr>
          <w:rFonts w:ascii="Arial" w:hAnsi="Arial" w:cs="Arial"/>
          <w:sz w:val="24"/>
          <w:szCs w:val="24"/>
        </w:rPr>
      </w:pPr>
      <w:r w:rsidRPr="00844014">
        <w:rPr>
          <w:rFonts w:ascii="Arial" w:hAnsi="Arial" w:cs="Arial"/>
          <w:sz w:val="24"/>
          <w:szCs w:val="24"/>
        </w:rPr>
        <w:t>Licenciatura en Derecho, Universidad Mexicana,), Veracruz. Ver.</w:t>
      </w:r>
    </w:p>
    <w:p w:rsidR="005815F7" w:rsidRPr="00844014" w:rsidRDefault="005815F7" w:rsidP="00BB2BF2">
      <w:pPr>
        <w:autoSpaceDE w:val="0"/>
        <w:autoSpaceDN w:val="0"/>
        <w:adjustRightInd w:val="0"/>
        <w:spacing w:after="0" w:line="240" w:lineRule="auto"/>
        <w:rPr>
          <w:rFonts w:ascii="Arial" w:hAnsi="Arial" w:cs="Arial"/>
          <w:sz w:val="24"/>
          <w:szCs w:val="24"/>
        </w:rPr>
      </w:pPr>
      <w:r w:rsidRPr="00844014">
        <w:rPr>
          <w:rFonts w:ascii="Arial" w:hAnsi="Arial" w:cs="Arial"/>
          <w:sz w:val="24"/>
          <w:szCs w:val="24"/>
        </w:rPr>
        <w:t>(2018-2020)</w:t>
      </w:r>
    </w:p>
    <w:p w:rsidR="005815F7" w:rsidRPr="00844014" w:rsidRDefault="005815F7" w:rsidP="00BB2BF2">
      <w:pPr>
        <w:autoSpaceDE w:val="0"/>
        <w:autoSpaceDN w:val="0"/>
        <w:adjustRightInd w:val="0"/>
        <w:spacing w:after="0" w:line="240" w:lineRule="auto"/>
        <w:rPr>
          <w:rFonts w:ascii="Arial" w:hAnsi="Arial" w:cs="Arial"/>
          <w:color w:val="404040"/>
          <w:sz w:val="24"/>
          <w:szCs w:val="24"/>
        </w:rPr>
      </w:pPr>
      <w:r w:rsidRPr="00844014">
        <w:rPr>
          <w:rFonts w:ascii="Arial" w:hAnsi="Arial" w:cs="Arial"/>
          <w:sz w:val="24"/>
          <w:szCs w:val="24"/>
        </w:rPr>
        <w:t>Maestría en</w:t>
      </w:r>
      <w:r w:rsidR="00844014">
        <w:rPr>
          <w:rFonts w:ascii="Arial" w:hAnsi="Arial" w:cs="Arial"/>
          <w:sz w:val="24"/>
          <w:szCs w:val="24"/>
        </w:rPr>
        <w:t xml:space="preserve"> Derecho Penal y Juicios</w:t>
      </w:r>
      <w:r w:rsidRPr="00844014">
        <w:rPr>
          <w:rFonts w:ascii="Arial" w:hAnsi="Arial" w:cs="Arial"/>
          <w:sz w:val="24"/>
          <w:szCs w:val="24"/>
        </w:rPr>
        <w:t xml:space="preserve"> Orales, Universidad de las Naciones, (en trámite de titulación). Veracruz, Ver.</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5815F7" w:rsidRPr="00844014" w:rsidRDefault="005815F7" w:rsidP="00BB2BF2">
      <w:pPr>
        <w:rPr>
          <w:rFonts w:ascii="Arial" w:hAnsi="Arial" w:cs="Arial"/>
        </w:rPr>
      </w:pPr>
      <w:r w:rsidRPr="00844014">
        <w:rPr>
          <w:rFonts w:ascii="Arial" w:hAnsi="Arial" w:cs="Arial"/>
        </w:rPr>
        <w:t xml:space="preserve">2006 – 2007 Abogado Litigante, Despacho Gámez y Asociados. Veracruz, Ver. </w:t>
      </w:r>
    </w:p>
    <w:p w:rsidR="005815F7" w:rsidRPr="00844014" w:rsidRDefault="005815F7" w:rsidP="00BB2BF2">
      <w:pPr>
        <w:rPr>
          <w:rFonts w:ascii="Arial" w:hAnsi="Arial" w:cs="Arial"/>
        </w:rPr>
      </w:pPr>
      <w:r w:rsidRPr="00844014">
        <w:rPr>
          <w:rFonts w:ascii="Arial" w:hAnsi="Arial" w:cs="Arial"/>
        </w:rPr>
        <w:t>2007 – 2013 Oficial Secretario adscrito a la Agencia del Ministerio Publico especializada en Responsabilidad Juvenil para el Estado de Veracruz.</w:t>
      </w:r>
    </w:p>
    <w:p w:rsidR="005815F7" w:rsidRPr="00844014" w:rsidRDefault="005815F7" w:rsidP="00BB2BF2">
      <w:pPr>
        <w:rPr>
          <w:rFonts w:ascii="Arial" w:hAnsi="Arial" w:cs="Arial"/>
        </w:rPr>
      </w:pPr>
      <w:r w:rsidRPr="00844014">
        <w:rPr>
          <w:rFonts w:ascii="Arial" w:hAnsi="Arial" w:cs="Arial"/>
        </w:rPr>
        <w:t xml:space="preserve">2013 – 2015 Agente del Ministerio Público Especializado en Responsabilidad Juvenil Adscrito al Juzgado de Responsabilidad Juvenil. FGE, Palma Sola, Ver. </w:t>
      </w:r>
    </w:p>
    <w:p w:rsidR="005815F7" w:rsidRPr="00844014" w:rsidRDefault="005815F7" w:rsidP="00BB2BF2">
      <w:pPr>
        <w:rPr>
          <w:rFonts w:ascii="Arial" w:hAnsi="Arial" w:cs="Arial"/>
        </w:rPr>
      </w:pPr>
      <w:r w:rsidRPr="00844014">
        <w:rPr>
          <w:rFonts w:ascii="Arial" w:hAnsi="Arial" w:cs="Arial"/>
        </w:rPr>
        <w:t>2015 a la fecha,  Fiscal Tercero Especializado en adolescentes adscrito al Juzgado de Responsabilidad Juvenil en Palma Sola, Veracruz.</w:t>
      </w:r>
    </w:p>
    <w:p w:rsidR="005815F7" w:rsidRPr="00844014" w:rsidRDefault="005815F7" w:rsidP="00BB2BF2">
      <w:pPr>
        <w:rPr>
          <w:rFonts w:ascii="Arial" w:hAnsi="Arial" w:cs="Arial"/>
          <w:b/>
        </w:rPr>
      </w:pPr>
      <w:r w:rsidRPr="00844014">
        <w:rPr>
          <w:rFonts w:ascii="Arial" w:hAnsi="Arial" w:cs="Arial"/>
          <w:b/>
        </w:rPr>
        <w:t xml:space="preserve"> Ponencias y cursos impartidos. </w:t>
      </w:r>
    </w:p>
    <w:p w:rsidR="005815F7" w:rsidRPr="00844014" w:rsidRDefault="005815F7" w:rsidP="00BB2BF2">
      <w:pPr>
        <w:rPr>
          <w:rFonts w:ascii="Arial" w:hAnsi="Arial" w:cs="Arial"/>
        </w:rPr>
      </w:pPr>
      <w:r w:rsidRPr="00844014">
        <w:rPr>
          <w:rFonts w:ascii="Arial" w:hAnsi="Arial" w:cs="Arial"/>
        </w:rPr>
        <w:t>2014 Ponencia “Legalidad de la Detención y Comunicación entre Elementos Aprehensores”, al Primer Batallón de Infantería y Personal Jurisdiccional de la 29 Zona Militar de Minatitlán, Ver. San Andrés Tuxtla, Ver.</w:t>
      </w:r>
    </w:p>
    <w:p w:rsidR="005815F7" w:rsidRPr="00844014" w:rsidRDefault="005815F7" w:rsidP="00BB2BF2">
      <w:pPr>
        <w:rPr>
          <w:rFonts w:ascii="Arial" w:hAnsi="Arial" w:cs="Arial"/>
        </w:rPr>
      </w:pPr>
      <w:r w:rsidRPr="00844014">
        <w:rPr>
          <w:rFonts w:ascii="Arial" w:hAnsi="Arial" w:cs="Arial"/>
        </w:rPr>
        <w:t xml:space="preserve"> 2018 Curso-taller “Las medidas cautelares en el Proceso de Justicia Penal para Adolescentes en el Estado de Veracruz”, modalidad virtual a través de la Plataforma Educativa y de Comunicación Integral (PECI). Secretaria de Gobierno, a través de la Dirección General del Sistema de Justicia Penal y </w:t>
      </w:r>
      <w:r w:rsidRPr="00844014">
        <w:rPr>
          <w:rFonts w:ascii="Arial" w:hAnsi="Arial" w:cs="Arial"/>
        </w:rPr>
        <w:lastRenderedPageBreak/>
        <w:t xml:space="preserve">Derechos Humanos. Xalapa, Ver. </w:t>
      </w:r>
    </w:p>
    <w:p w:rsidR="005815F7" w:rsidRPr="00844014" w:rsidRDefault="005815F7" w:rsidP="00BB2BF2">
      <w:pPr>
        <w:rPr>
          <w:rFonts w:ascii="Arial" w:hAnsi="Arial" w:cs="Arial"/>
          <w:sz w:val="24"/>
          <w:szCs w:val="24"/>
        </w:rPr>
      </w:pPr>
      <w:r w:rsidRPr="00844014">
        <w:rPr>
          <w:rFonts w:ascii="Arial" w:hAnsi="Arial" w:cs="Arial"/>
        </w:rPr>
        <w:t>2018 Conversatorio Interinstitucional sobre Justica Penal para adolescentes en el Estado de Veracruz. Secretaria de Gobierno en coordinación con el Poder Judicial del Estado. Xalapa, Ver. 2019 Ponencia en el Curso Taller Medidas de Sanción especiales y prevención del delito, Secretaria de Gobierno del Estado de Veracruz, a través de la Subsecretaria Jurídica y Asuntos Legislativos.</w:t>
      </w: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844014" w:rsidRPr="00844014" w:rsidRDefault="00844014" w:rsidP="00844014">
      <w:pPr>
        <w:rPr>
          <w:rFonts w:ascii="NeoSansPro-Regular" w:hAnsi="NeoSansPro-Regular" w:cs="NeoSansPro-Regular"/>
          <w:color w:val="404040"/>
          <w:sz w:val="24"/>
          <w:szCs w:val="24"/>
        </w:rPr>
      </w:pPr>
      <w:r>
        <w:rPr>
          <w:rFonts w:ascii="NeoSansPro-Regular" w:hAnsi="NeoSansPro-Regular" w:cs="NeoSansPro-Regular"/>
          <w:color w:val="404040"/>
          <w:sz w:val="24"/>
          <w:szCs w:val="24"/>
        </w:rPr>
        <w:t>Derechos Humanos</w:t>
      </w:r>
    </w:p>
    <w:p w:rsidR="006B643A"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Derecho Penal.</w:t>
      </w:r>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Juicio Oral</w:t>
      </w:r>
      <w:bookmarkStart w:id="0" w:name="_GoBack"/>
      <w:bookmarkEnd w:id="0"/>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Procesal Penal.</w:t>
      </w:r>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Amparo.</w:t>
      </w:r>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Justicia Especializada para Adolescentes</w:t>
      </w:r>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Mecanismos Alternativos de Solución de Conflicto</w:t>
      </w:r>
    </w:p>
    <w:p w:rsidR="00844014" w:rsidRDefault="00844014"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Justicia Restaurativa</w:t>
      </w:r>
    </w:p>
    <w:p w:rsidR="00844014" w:rsidRPr="00844014" w:rsidRDefault="00844014">
      <w:pPr>
        <w:rPr>
          <w:rFonts w:ascii="NeoSansPro-Regular" w:hAnsi="NeoSansPro-Regular" w:cs="NeoSansPro-Regular"/>
          <w:color w:val="404040"/>
          <w:sz w:val="24"/>
          <w:szCs w:val="24"/>
        </w:rPr>
      </w:pPr>
    </w:p>
    <w:sectPr w:rsidR="00844014" w:rsidRPr="0084401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C9" w:rsidRDefault="00B44EC9" w:rsidP="00AB5916">
      <w:pPr>
        <w:spacing w:after="0" w:line="240" w:lineRule="auto"/>
      </w:pPr>
      <w:r>
        <w:separator/>
      </w:r>
    </w:p>
  </w:endnote>
  <w:endnote w:type="continuationSeparator" w:id="1">
    <w:p w:rsidR="00B44EC9" w:rsidRDefault="00B44EC9"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C9" w:rsidRDefault="00B44EC9" w:rsidP="00AB5916">
      <w:pPr>
        <w:spacing w:after="0" w:line="240" w:lineRule="auto"/>
      </w:pPr>
      <w:r>
        <w:separator/>
      </w:r>
    </w:p>
  </w:footnote>
  <w:footnote w:type="continuationSeparator" w:id="1">
    <w:p w:rsidR="00B44EC9" w:rsidRDefault="00B44EC9"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22FCC"/>
    <w:rsid w:val="00035E4E"/>
    <w:rsid w:val="0005169D"/>
    <w:rsid w:val="00076A27"/>
    <w:rsid w:val="000D5363"/>
    <w:rsid w:val="000E2580"/>
    <w:rsid w:val="001378EA"/>
    <w:rsid w:val="00154387"/>
    <w:rsid w:val="00196774"/>
    <w:rsid w:val="00247088"/>
    <w:rsid w:val="00304E91"/>
    <w:rsid w:val="00377921"/>
    <w:rsid w:val="003E7CE6"/>
    <w:rsid w:val="00462C41"/>
    <w:rsid w:val="004A1170"/>
    <w:rsid w:val="004B2D6E"/>
    <w:rsid w:val="004E4FFA"/>
    <w:rsid w:val="005502F5"/>
    <w:rsid w:val="005815F7"/>
    <w:rsid w:val="005A32B3"/>
    <w:rsid w:val="00600D12"/>
    <w:rsid w:val="006B643A"/>
    <w:rsid w:val="006C2CDA"/>
    <w:rsid w:val="006F62DE"/>
    <w:rsid w:val="00723B67"/>
    <w:rsid w:val="00726727"/>
    <w:rsid w:val="00785C57"/>
    <w:rsid w:val="00831511"/>
    <w:rsid w:val="00844014"/>
    <w:rsid w:val="00846235"/>
    <w:rsid w:val="00A33954"/>
    <w:rsid w:val="00A66637"/>
    <w:rsid w:val="00AB5916"/>
    <w:rsid w:val="00B44EC9"/>
    <w:rsid w:val="00B55469"/>
    <w:rsid w:val="00BA21B4"/>
    <w:rsid w:val="00BB2BF2"/>
    <w:rsid w:val="00BE5970"/>
    <w:rsid w:val="00C7190B"/>
    <w:rsid w:val="00CE7F12"/>
    <w:rsid w:val="00D03386"/>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2020-09-08T16:23:00Z</dcterms:created>
  <dcterms:modified xsi:type="dcterms:W3CDTF">2020-09-08T16:23:00Z</dcterms:modified>
</cp:coreProperties>
</file>